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State of the "Grandfather" and the Problem of Detachment</w:t>
      </w:r>
    </w:p>
    <w:p>
      <w:pPr>
        <w:pStyle w:val="BodyText"/>
        <w:bidi w:val="0"/>
        <w:jc w:val="start"/>
        <w:rPr/>
      </w:pPr>
      <w:r>
        <w:rPr/>
        <w:t xml:space="preserve">I begin by describing the aftermath of testing my latest guide—a guide that, unlike previous ones, doesn’t rely on distractions, fantasies, or any particular techniques. Instead, it’s a raw, precise description of reality as I observe it. The problem? This guide, and the state it induces, leaves me feeling like an old man—what I call the </w:t>
      </w:r>
      <w:r>
        <w:rPr>
          <w:rStyle w:val="Strong"/>
        </w:rPr>
        <w:t>"state of the grandfather."</w:t>
      </w:r>
    </w:p>
    <w:p>
      <w:pPr>
        <w:pStyle w:val="BodyText"/>
        <w:bidi w:val="0"/>
        <w:jc w:val="start"/>
        <w:rPr/>
      </w:pPr>
      <w:r>
        <w:rPr/>
        <w:t>In this state, I sit motionless, staring into the distance, devoid of suffering but also devoid of joy, motivation, or any real engagement with life. It’s as if I’ve already lived my entire existence, even though my life is still ahead of me. There’s no pain, but there’s no pleasure either—just a hollow, indifferent presence. I don’t want to bring others into this state. It’s not suffering, but it’s not living either.</w:t>
      </w:r>
    </w:p>
    <w:p>
      <w:pPr>
        <w:pStyle w:val="Heading3"/>
        <w:bidi w:val="0"/>
        <w:jc w:val="start"/>
        <w:rPr/>
      </w:pPr>
      <w:r>
        <w:rPr>
          <w:rStyle w:val="Strong"/>
          <w:b/>
          <w:bCs/>
        </w:rPr>
        <w:t>The Realization: The Guide Itself Is the Problem</w:t>
      </w:r>
    </w:p>
    <w:p>
      <w:pPr>
        <w:pStyle w:val="BodyText"/>
        <w:bidi w:val="0"/>
        <w:jc w:val="start"/>
        <w:rPr/>
      </w:pPr>
      <w:r>
        <w:rPr/>
        <w:t xml:space="preserve">I ask myself: </w:t>
      </w:r>
      <w:r>
        <w:rPr>
          <w:rStyle w:val="Emphasis"/>
        </w:rPr>
        <w:t>What can I do with this?</w:t>
      </w:r>
      <w:r>
        <w:rPr/>
        <w:t xml:space="preserve"> And the answer comes: </w:t>
      </w:r>
      <w:r>
        <w:rPr>
          <w:rStyle w:val="Strong"/>
        </w:rPr>
        <w:t>I must detach from the guide itself.</w:t>
      </w:r>
    </w:p>
    <w:p>
      <w:pPr>
        <w:pStyle w:val="BodyText"/>
        <w:bidi w:val="0"/>
        <w:jc w:val="start"/>
        <w:rPr/>
      </w:pPr>
      <w:r>
        <w:rPr/>
        <w:t xml:space="preserve">At first, I try to distract myself from the guide’s description of reality, but it pulls me back. Then I realize—I’m not </w:t>
      </w:r>
      <w:r>
        <w:rPr>
          <w:rStyle w:val="Emphasis"/>
        </w:rPr>
        <w:t>distracting</w:t>
      </w:r>
      <w:r>
        <w:rPr/>
        <w:t xml:space="preserve"> myself at all. I’m forgetting that I must also </w:t>
      </w:r>
      <w:r>
        <w:rPr>
          <w:rStyle w:val="Strong"/>
        </w:rPr>
        <w:t>detach from the guide as an object.</w:t>
      </w:r>
      <w:r>
        <w:rPr/>
        <w:t xml:space="preserve"> The guide is a precise description of reality, but once I’ve written it, I no longer need to think about it. Ever.</w:t>
      </w:r>
    </w:p>
    <w:p>
      <w:pPr>
        <w:pStyle w:val="BodyText"/>
        <w:bidi w:val="0"/>
        <w:jc w:val="start"/>
        <w:rPr/>
      </w:pPr>
      <w:r>
        <w:rPr/>
        <w:t xml:space="preserve">The guide is useless to me. It doesn’t intersect with my life in any meaningful way. I don’t need to know my own representation of reality—I don’t need to focus on it, write about it, or even remember it. The act of writing it was enough. Now, I must </w:t>
      </w:r>
      <w:r>
        <w:rPr>
          <w:rStyle w:val="Strong"/>
        </w:rPr>
        <w:t>forget it entirely.</w:t>
      </w:r>
    </w:p>
    <w:p>
      <w:pPr>
        <w:pStyle w:val="Heading3"/>
        <w:bidi w:val="0"/>
        <w:jc w:val="start"/>
        <w:rPr/>
      </w:pPr>
      <w:r>
        <w:rPr>
          <w:rStyle w:val="Strong"/>
          <w:b/>
          <w:bCs/>
        </w:rPr>
        <w:t>The Core Insight: Detachment as a Skill, Not a Belief</w:t>
      </w:r>
    </w:p>
    <w:p>
      <w:pPr>
        <w:pStyle w:val="BodyText"/>
        <w:bidi w:val="0"/>
        <w:jc w:val="start"/>
        <w:rPr/>
      </w:pPr>
      <w:r>
        <w:rPr/>
        <w:t xml:space="preserve">This isn’t about believing the guide is "real" or "unreal." It’s about </w:t>
      </w:r>
      <w:r>
        <w:rPr>
          <w:rStyle w:val="Strong"/>
        </w:rPr>
        <w:t>applying the ability to detach</w:t>
      </w:r>
      <w:r>
        <w:rPr/>
        <w:t xml:space="preserve">—not by analyzing words, not by assigning meaning, but by simply </w:t>
      </w:r>
      <w:r>
        <w:rPr>
          <w:rStyle w:val="Strong"/>
        </w:rPr>
        <w:t>choosing to stop engaging with them.</w:t>
      </w:r>
    </w:p>
    <w:p>
      <w:pPr>
        <w:pStyle w:val="BodyText"/>
        <w:bidi w:val="0"/>
        <w:jc w:val="start"/>
        <w:rPr/>
      </w:pPr>
      <w:r>
        <w:rPr/>
        <w:t>I recall my earlier guides:</w:t>
      </w:r>
    </w:p>
    <w:p>
      <w:pPr>
        <w:pStyle w:val="BodyText"/>
        <w:numPr>
          <w:ilvl w:val="0"/>
          <w:numId w:val="1"/>
        </w:numPr>
        <w:tabs>
          <w:tab w:val="clear" w:pos="709"/>
          <w:tab w:val="left" w:pos="709" w:leader="none"/>
        </w:tabs>
        <w:bidi w:val="0"/>
        <w:spacing w:before="0" w:after="0"/>
        <w:ind w:hanging="283" w:start="709"/>
        <w:jc w:val="start"/>
        <w:rPr/>
      </w:pPr>
      <w:r>
        <w:rPr/>
        <w:t xml:space="preserve">The first was about </w:t>
      </w:r>
      <w:r>
        <w:rPr>
          <w:rStyle w:val="Strong"/>
        </w:rPr>
        <w:t>living in fantasies</w:t>
      </w:r>
      <w:r>
        <w:rPr/>
        <w:t xml:space="preserve">—not believing in anything, just immersing myself in imagination. </w:t>
      </w:r>
    </w:p>
    <w:p>
      <w:pPr>
        <w:pStyle w:val="BodyText"/>
        <w:numPr>
          <w:ilvl w:val="0"/>
          <w:numId w:val="1"/>
        </w:numPr>
        <w:tabs>
          <w:tab w:val="clear" w:pos="709"/>
          <w:tab w:val="left" w:pos="709" w:leader="none"/>
        </w:tabs>
        <w:bidi w:val="0"/>
        <w:ind w:hanging="283" w:start="709"/>
        <w:jc w:val="start"/>
        <w:rPr/>
      </w:pPr>
      <w:r>
        <w:rPr/>
        <w:t xml:space="preserve">The second was about </w:t>
      </w:r>
      <w:r>
        <w:rPr>
          <w:rStyle w:val="Strong"/>
        </w:rPr>
        <w:t>detachment</w:t>
      </w:r>
      <w:r>
        <w:rPr/>
        <w:t xml:space="preserve">, but back then, I used it because I </w:t>
      </w:r>
      <w:r>
        <w:rPr>
          <w:rStyle w:val="Emphasis"/>
        </w:rPr>
        <w:t>believed</w:t>
      </w:r>
      <w:r>
        <w:rPr/>
        <w:t xml:space="preserve"> I had to. Now, I use it </w:t>
      </w:r>
      <w:r>
        <w:rPr>
          <w:rStyle w:val="Strong"/>
        </w:rPr>
        <w:t>because I can.</w:t>
      </w:r>
      <w:r>
        <w:rPr/>
        <w:t xml:space="preserve"> </w:t>
      </w:r>
    </w:p>
    <w:p>
      <w:pPr>
        <w:pStyle w:val="BodyText"/>
        <w:bidi w:val="0"/>
        <w:jc w:val="start"/>
        <w:rPr/>
      </w:pPr>
      <w:r>
        <w:rPr/>
        <w:t xml:space="preserve">The difference? Before, I thought the guide </w:t>
      </w:r>
      <w:r>
        <w:rPr>
          <w:rStyle w:val="Emphasis"/>
        </w:rPr>
        <w:t>was</w:t>
      </w:r>
      <w:r>
        <w:rPr/>
        <w:t xml:space="preserve"> reality, so detaching felt impossible—like trying to escape reality itself. Now, I know the guide is just </w:t>
      </w:r>
      <w:r>
        <w:rPr>
          <w:rStyle w:val="Strong"/>
        </w:rPr>
        <w:t>a description, not reality.</w:t>
      </w:r>
      <w:r>
        <w:rPr/>
        <w:t xml:space="preserve"> And because I don’t believe it’s real, detaching becomes effortless.</w:t>
      </w:r>
    </w:p>
    <w:p>
      <w:pPr>
        <w:pStyle w:val="Heading3"/>
        <w:bidi w:val="0"/>
        <w:jc w:val="start"/>
        <w:rPr/>
      </w:pPr>
      <w:r>
        <w:rPr>
          <w:rStyle w:val="Strong"/>
          <w:b/>
          <w:bCs/>
        </w:rPr>
        <w:t>The Pure State: Beyond Words, Beyond Descriptions</w:t>
      </w:r>
    </w:p>
    <w:p>
      <w:pPr>
        <w:pStyle w:val="BodyText"/>
        <w:bidi w:val="0"/>
        <w:jc w:val="start"/>
        <w:rPr/>
      </w:pPr>
      <w:r>
        <w:rPr/>
        <w:t xml:space="preserve">When I fully detach, I enter a </w:t>
      </w:r>
      <w:r>
        <w:rPr>
          <w:rStyle w:val="Strong"/>
        </w:rPr>
        <w:t>pure, childlike state</w:t>
      </w:r>
      <w:r>
        <w:rPr/>
        <w:t xml:space="preserve">—not a literal child, but a mind unburdened by descriptions. It’s as if I’ve never created a single definition of reality. There are no words, no narratives, just </w:t>
      </w:r>
      <w:r>
        <w:rPr>
          <w:rStyle w:val="Strong"/>
        </w:rPr>
        <w:t>raw observation and instinctive feeling.</w:t>
      </w:r>
    </w:p>
    <w:p>
      <w:pPr>
        <w:pStyle w:val="BodyText"/>
        <w:bidi w:val="0"/>
        <w:jc w:val="start"/>
        <w:rPr/>
      </w:pPr>
      <w:r>
        <w:rPr/>
        <w:t>In this state:</w:t>
      </w:r>
    </w:p>
    <w:p>
      <w:pPr>
        <w:pStyle w:val="BodyText"/>
        <w:numPr>
          <w:ilvl w:val="0"/>
          <w:numId w:val="2"/>
        </w:numPr>
        <w:tabs>
          <w:tab w:val="clear" w:pos="709"/>
          <w:tab w:val="left" w:pos="709" w:leader="none"/>
        </w:tabs>
        <w:bidi w:val="0"/>
        <w:spacing w:before="0" w:after="0"/>
        <w:ind w:hanging="283" w:start="709"/>
        <w:jc w:val="start"/>
        <w:rPr/>
      </w:pPr>
      <w:r>
        <w:rPr/>
        <w:t xml:space="preserve">I </w:t>
      </w:r>
      <w:r>
        <w:rPr>
          <w:rStyle w:val="Strong"/>
        </w:rPr>
        <w:t>want everything</w:t>
      </w:r>
      <w:r>
        <w:rPr/>
        <w:t xml:space="preserve">—not in a greedy way, but with a natural, unfiltered motivation. </w:t>
      </w:r>
    </w:p>
    <w:p>
      <w:pPr>
        <w:pStyle w:val="BodyText"/>
        <w:numPr>
          <w:ilvl w:val="0"/>
          <w:numId w:val="2"/>
        </w:numPr>
        <w:tabs>
          <w:tab w:val="clear" w:pos="709"/>
          <w:tab w:val="left" w:pos="709" w:leader="none"/>
        </w:tabs>
        <w:bidi w:val="0"/>
        <w:spacing w:before="0" w:after="0"/>
        <w:ind w:hanging="283" w:start="709"/>
        <w:jc w:val="start"/>
        <w:rPr/>
      </w:pPr>
      <w:r>
        <w:rPr/>
        <w:t xml:space="preserve">There’s no need to describe what I feel; I </w:t>
      </w:r>
      <w:r>
        <w:rPr>
          <w:rStyle w:val="Strong"/>
        </w:rPr>
        <w:t>feel first, describe later</w:t>
      </w:r>
      <w:r>
        <w:rPr/>
        <w:t xml:space="preserve"> (if at all). </w:t>
      </w:r>
    </w:p>
    <w:p>
      <w:pPr>
        <w:pStyle w:val="BodyText"/>
        <w:numPr>
          <w:ilvl w:val="0"/>
          <w:numId w:val="2"/>
        </w:numPr>
        <w:tabs>
          <w:tab w:val="clear" w:pos="709"/>
          <w:tab w:val="left" w:pos="709" w:leader="none"/>
        </w:tabs>
        <w:bidi w:val="0"/>
        <w:spacing w:before="0" w:after="0"/>
        <w:ind w:hanging="283" w:start="709"/>
        <w:jc w:val="start"/>
        <w:rPr/>
      </w:pPr>
      <w:r>
        <w:rPr/>
        <w:t xml:space="preserve">Fantasies don’t dominate me; they’re just automatic, fleeting reactions. </w:t>
      </w:r>
    </w:p>
    <w:p>
      <w:pPr>
        <w:pStyle w:val="BodyText"/>
        <w:numPr>
          <w:ilvl w:val="0"/>
          <w:numId w:val="2"/>
        </w:numPr>
        <w:tabs>
          <w:tab w:val="clear" w:pos="709"/>
          <w:tab w:val="left" w:pos="709" w:leader="none"/>
        </w:tabs>
        <w:bidi w:val="0"/>
        <w:ind w:hanging="283" w:start="709"/>
        <w:jc w:val="start"/>
        <w:rPr/>
      </w:pPr>
      <w:r>
        <w:rPr/>
        <w:t xml:space="preserve">Most importantly, </w:t>
      </w:r>
      <w:r>
        <w:rPr>
          <w:rStyle w:val="Strong"/>
        </w:rPr>
        <w:t>there are no words between me and the world.</w:t>
      </w:r>
      <w:r>
        <w:rPr/>
        <w:t xml:space="preserve"> I don’t translate experience into language—I just </w:t>
      </w:r>
      <w:r>
        <w:rPr>
          <w:rStyle w:val="Emphasis"/>
        </w:rPr>
        <w:t>experience.</w:t>
      </w:r>
      <w:r>
        <w:rPr/>
        <w:t xml:space="preserve"> </w:t>
      </w:r>
    </w:p>
    <w:p>
      <w:pPr>
        <w:pStyle w:val="BodyText"/>
        <w:bidi w:val="0"/>
        <w:jc w:val="start"/>
        <w:rPr/>
      </w:pPr>
      <w:r>
        <w:rPr/>
        <w:t xml:space="preserve">This state is </w:t>
      </w:r>
      <w:r>
        <w:rPr>
          <w:rStyle w:val="Strong"/>
        </w:rPr>
        <w:t>unique, pleasant, and energizing.</w:t>
      </w:r>
      <w:r>
        <w:rPr/>
        <w:t xml:space="preserve"> It’s not the hollow calm of the "grandfather" but the vibrant aliveness of someone fully present.</w:t>
      </w:r>
    </w:p>
    <w:p>
      <w:pPr>
        <w:pStyle w:val="Heading3"/>
        <w:bidi w:val="0"/>
        <w:jc w:val="start"/>
        <w:rPr/>
      </w:pPr>
      <w:r>
        <w:rPr>
          <w:rStyle w:val="Strong"/>
          <w:b/>
          <w:bCs/>
        </w:rPr>
        <w:t>The Trap of Automatic Thoughts</w:t>
      </w:r>
    </w:p>
    <w:p>
      <w:pPr>
        <w:pStyle w:val="BodyText"/>
        <w:bidi w:val="0"/>
        <w:jc w:val="start"/>
        <w:rPr/>
      </w:pPr>
      <w:r>
        <w:rPr/>
        <w:t xml:space="preserve">Even in detachment, my brain sometimes </w:t>
      </w:r>
      <w:r>
        <w:rPr>
          <w:rStyle w:val="Strong"/>
        </w:rPr>
        <w:t>snaps back</w:t>
      </w:r>
      <w:r>
        <w:rPr/>
        <w:t xml:space="preserve">—spontaneous thoughts drag me into old descriptions, usually negative or fearful. But I’ve learned to </w:t>
      </w:r>
      <w:r>
        <w:rPr>
          <w:rStyle w:val="Strong"/>
        </w:rPr>
        <w:t>apply detachment to these thoughts too.</w:t>
      </w:r>
    </w:p>
    <w:p>
      <w:pPr>
        <w:pStyle w:val="BodyText"/>
        <w:bidi w:val="0"/>
        <w:jc w:val="start"/>
        <w:rPr/>
      </w:pPr>
      <w:r>
        <w:rPr/>
        <w:t>How? By recognizing that:</w:t>
      </w:r>
    </w:p>
    <w:p>
      <w:pPr>
        <w:pStyle w:val="BodyText"/>
        <w:numPr>
          <w:ilvl w:val="0"/>
          <w:numId w:val="3"/>
        </w:numPr>
        <w:tabs>
          <w:tab w:val="clear" w:pos="709"/>
          <w:tab w:val="left" w:pos="709" w:leader="none"/>
        </w:tabs>
        <w:bidi w:val="0"/>
        <w:spacing w:before="0" w:after="0"/>
        <w:ind w:hanging="283" w:start="709"/>
        <w:jc w:val="start"/>
        <w:rPr/>
      </w:pPr>
      <w:r>
        <w:rPr/>
        <w:t xml:space="preserve">These thoughts are </w:t>
      </w:r>
      <w:r>
        <w:rPr>
          <w:rStyle w:val="Strong"/>
        </w:rPr>
        <w:t>not reality</w:t>
      </w:r>
      <w:r>
        <w:rPr/>
        <w:t xml:space="preserve">—they’re just words, empty constructs. </w:t>
      </w:r>
    </w:p>
    <w:p>
      <w:pPr>
        <w:pStyle w:val="BodyText"/>
        <w:numPr>
          <w:ilvl w:val="0"/>
          <w:numId w:val="3"/>
        </w:numPr>
        <w:tabs>
          <w:tab w:val="clear" w:pos="709"/>
          <w:tab w:val="left" w:pos="709" w:leader="none"/>
        </w:tabs>
        <w:bidi w:val="0"/>
        <w:spacing w:before="0" w:after="0"/>
        <w:ind w:hanging="283" w:start="709"/>
        <w:jc w:val="start"/>
        <w:rPr/>
      </w:pPr>
      <w:r>
        <w:rPr/>
        <w:t xml:space="preserve">They have </w:t>
      </w:r>
      <w:r>
        <w:rPr>
          <w:rStyle w:val="Strong"/>
        </w:rPr>
        <w:t>no power</w:t>
      </w:r>
      <w:r>
        <w:rPr/>
        <w:t xml:space="preserve"> unless I choose to engage with them. </w:t>
      </w:r>
    </w:p>
    <w:p>
      <w:pPr>
        <w:pStyle w:val="BodyText"/>
        <w:numPr>
          <w:ilvl w:val="0"/>
          <w:numId w:val="3"/>
        </w:numPr>
        <w:tabs>
          <w:tab w:val="clear" w:pos="709"/>
          <w:tab w:val="left" w:pos="709" w:leader="none"/>
        </w:tabs>
        <w:bidi w:val="0"/>
        <w:ind w:hanging="283" w:start="709"/>
        <w:jc w:val="start"/>
        <w:rPr/>
      </w:pPr>
      <w:r>
        <w:rPr/>
        <w:t xml:space="preserve">The moment I stop believing in their significance, they dissolve. </w:t>
      </w:r>
    </w:p>
    <w:p>
      <w:pPr>
        <w:pStyle w:val="Heading3"/>
        <w:bidi w:val="0"/>
        <w:jc w:val="start"/>
        <w:rPr/>
      </w:pPr>
      <w:r>
        <w:rPr>
          <w:rStyle w:val="Strong"/>
          <w:b/>
          <w:bCs/>
        </w:rPr>
        <w:t>Why Detachment Works: The Illusion of Words</w:t>
      </w:r>
    </w:p>
    <w:p>
      <w:pPr>
        <w:pStyle w:val="BodyText"/>
        <w:bidi w:val="0"/>
        <w:jc w:val="start"/>
        <w:rPr/>
      </w:pPr>
      <w:r>
        <w:rPr/>
        <w:t xml:space="preserve">I suspect that </w:t>
      </w:r>
      <w:r>
        <w:rPr>
          <w:rStyle w:val="Strong"/>
        </w:rPr>
        <w:t>words ruin everything.</w:t>
      </w:r>
      <w:r>
        <w:rPr/>
        <w:t xml:space="preserve"> We’re born with pure perception, but language layers meaning onto experience—often negative meaning. We stop living in reality and start living in </w:t>
      </w:r>
      <w:r>
        <w:rPr>
          <w:rStyle w:val="Strong"/>
        </w:rPr>
        <w:t>our descriptions of reality</w:t>
      </w:r>
      <w:r>
        <w:rPr/>
        <w:t xml:space="preserve">, reacting to the </w:t>
      </w:r>
      <w:r>
        <w:rPr>
          <w:rStyle w:val="Emphasis"/>
        </w:rPr>
        <w:t>stories</w:t>
      </w:r>
      <w:r>
        <w:rPr/>
        <w:t xml:space="preserve"> we tell ourselves rather than the world itself.</w:t>
      </w:r>
    </w:p>
    <w:p>
      <w:pPr>
        <w:pStyle w:val="BodyText"/>
        <w:bidi w:val="0"/>
        <w:jc w:val="start"/>
        <w:rPr/>
      </w:pPr>
      <w:r>
        <w:rPr/>
        <w:t xml:space="preserve">But </w:t>
      </w:r>
      <w:r>
        <w:rPr>
          <w:rStyle w:val="Strong"/>
        </w:rPr>
        <w:t>feelings exist without words.</w:t>
      </w:r>
      <w:r>
        <w:rPr/>
        <w:t xml:space="preserve"> Babies feel before they speak. Animals feel without language. So why do we let words dictate our emotions?</w:t>
      </w:r>
    </w:p>
    <w:p>
      <w:pPr>
        <w:pStyle w:val="Heading3"/>
        <w:bidi w:val="0"/>
        <w:jc w:val="start"/>
        <w:rPr/>
      </w:pPr>
      <w:r>
        <w:rPr>
          <w:rStyle w:val="Strong"/>
          <w:b/>
          <w:bCs/>
        </w:rPr>
        <w:t>The Final Test: Detachment in Action (Gaming Example)</w:t>
      </w:r>
    </w:p>
    <w:p>
      <w:pPr>
        <w:pStyle w:val="BodyText"/>
        <w:bidi w:val="0"/>
        <w:jc w:val="start"/>
        <w:rPr/>
      </w:pPr>
      <w:r>
        <w:rPr/>
        <w:t>I tested the "grandfather" state while gaming:</w:t>
      </w:r>
    </w:p>
    <w:p>
      <w:pPr>
        <w:pStyle w:val="BodyText"/>
        <w:numPr>
          <w:ilvl w:val="0"/>
          <w:numId w:val="4"/>
        </w:numPr>
        <w:tabs>
          <w:tab w:val="clear" w:pos="709"/>
          <w:tab w:val="left" w:pos="709" w:leader="none"/>
        </w:tabs>
        <w:bidi w:val="0"/>
        <w:spacing w:before="0" w:after="0"/>
        <w:ind w:hanging="283" w:start="709"/>
        <w:jc w:val="start"/>
        <w:rPr/>
      </w:pPr>
      <w:r>
        <w:rPr>
          <w:rStyle w:val="Strong"/>
        </w:rPr>
        <w:t>Mistake:</w:t>
      </w:r>
      <w:r>
        <w:rPr/>
        <w:t xml:space="preserve"> I told myself, </w:t>
      </w:r>
      <w:r>
        <w:rPr>
          <w:rStyle w:val="Emphasis"/>
        </w:rPr>
        <w:t>"I want to play well."</w:t>
      </w:r>
      <w:r>
        <w:rPr/>
        <w:t xml:space="preserve"> This created expectation, and when I failed, I felt bad. </w:t>
      </w:r>
    </w:p>
    <w:p>
      <w:pPr>
        <w:pStyle w:val="BodyText"/>
        <w:numPr>
          <w:ilvl w:val="0"/>
          <w:numId w:val="4"/>
        </w:numPr>
        <w:tabs>
          <w:tab w:val="clear" w:pos="709"/>
          <w:tab w:val="left" w:pos="709" w:leader="none"/>
        </w:tabs>
        <w:bidi w:val="0"/>
        <w:ind w:hanging="283" w:start="709"/>
        <w:jc w:val="start"/>
        <w:rPr/>
      </w:pPr>
      <w:r>
        <w:rPr>
          <w:rStyle w:val="Strong"/>
        </w:rPr>
        <w:t>Solution:</w:t>
      </w:r>
      <w:r>
        <w:rPr/>
        <w:t xml:space="preserve"> I stayed in detachment—</w:t>
      </w:r>
      <w:r>
        <w:rPr>
          <w:rStyle w:val="Strong"/>
        </w:rPr>
        <w:t>no goals, no narratives, just action.</w:t>
      </w:r>
      <w:r>
        <w:rPr/>
        <w:t xml:space="preserve"> I played neither better nor worse, but I </w:t>
      </w:r>
      <w:r>
        <w:rPr>
          <w:rStyle w:val="Strong"/>
        </w:rPr>
        <w:t>felt nothing</w:t>
      </w:r>
      <w:r>
        <w:rPr/>
        <w:t xml:space="preserve">—no joy in winning, no frustration in losing. </w:t>
      </w:r>
    </w:p>
    <w:p>
      <w:pPr>
        <w:pStyle w:val="BodyText"/>
        <w:bidi w:val="0"/>
        <w:jc w:val="start"/>
        <w:rPr/>
      </w:pPr>
      <w:r>
        <w:rPr/>
        <w:t xml:space="preserve">This confirmed: the "grandfather" state is </w:t>
      </w:r>
      <w:r>
        <w:rPr>
          <w:rStyle w:val="Strong"/>
        </w:rPr>
        <w:t>neutral but empty.</w:t>
      </w:r>
      <w:r>
        <w:rPr/>
        <w:t xml:space="preserve"> It’s not suffering, but it’s not fulfillment either.</w:t>
      </w:r>
    </w:p>
    <w:p>
      <w:pPr>
        <w:pStyle w:val="BodyText"/>
        <w:bidi w:val="0"/>
        <w:jc w:val="start"/>
        <w:rPr/>
      </w:pPr>
      <w:r>
        <w:rPr/>
        <w:t xml:space="preserve">The </w:t>
      </w:r>
      <w:r>
        <w:rPr>
          <w:rStyle w:val="Strong"/>
        </w:rPr>
        <w:t>pure detached state</w:t>
      </w:r>
      <w:r>
        <w:rPr/>
        <w:t xml:space="preserve">, however—where I forget all guides, all descriptions—is different. There, I’m </w:t>
      </w:r>
      <w:r>
        <w:rPr>
          <w:rStyle w:val="Strong"/>
        </w:rPr>
        <w:t>fully alive, motivated, and present.</w:t>
      </w:r>
    </w:p>
    <w:p>
      <w:pPr>
        <w:pStyle w:val="Heading3"/>
        <w:bidi w:val="0"/>
        <w:jc w:val="start"/>
        <w:rPr/>
      </w:pPr>
      <w:r>
        <w:rPr>
          <w:rStyle w:val="Strong"/>
          <w:b/>
          <w:bCs/>
        </w:rPr>
        <w:t>The Conclusion: Choosing the State of Being</w:t>
      </w:r>
    </w:p>
    <w:p>
      <w:pPr>
        <w:pStyle w:val="BodyText"/>
        <w:bidi w:val="0"/>
        <w:jc w:val="start"/>
        <w:rPr/>
      </w:pPr>
      <w:r>
        <w:rPr/>
        <w:t xml:space="preserve">There is no "true" reality or unreality. There’s only </w:t>
      </w:r>
      <w:r>
        <w:rPr>
          <w:rStyle w:val="Strong"/>
        </w:rPr>
        <w:t>the choice of how to live:</w:t>
      </w:r>
    </w:p>
    <w:p>
      <w:pPr>
        <w:pStyle w:val="BodyText"/>
        <w:numPr>
          <w:ilvl w:val="0"/>
          <w:numId w:val="5"/>
        </w:numPr>
        <w:tabs>
          <w:tab w:val="clear" w:pos="709"/>
          <w:tab w:val="left" w:pos="709" w:leader="none"/>
        </w:tabs>
        <w:bidi w:val="0"/>
        <w:spacing w:before="0" w:after="0"/>
        <w:ind w:hanging="283" w:start="709"/>
        <w:jc w:val="start"/>
        <w:rPr/>
      </w:pPr>
      <w:r>
        <w:rPr>
          <w:rStyle w:val="Strong"/>
        </w:rPr>
        <w:t>Option 1:</w:t>
      </w:r>
      <w:r>
        <w:rPr/>
        <w:t xml:space="preserve"> Live in descriptions—constantly translating experience into words, reacting to meanings, often suffering. </w:t>
      </w:r>
    </w:p>
    <w:p>
      <w:pPr>
        <w:pStyle w:val="BodyText"/>
        <w:numPr>
          <w:ilvl w:val="0"/>
          <w:numId w:val="5"/>
        </w:numPr>
        <w:tabs>
          <w:tab w:val="clear" w:pos="709"/>
          <w:tab w:val="left" w:pos="709" w:leader="none"/>
        </w:tabs>
        <w:bidi w:val="0"/>
        <w:ind w:hanging="283" w:start="709"/>
        <w:jc w:val="start"/>
        <w:rPr/>
      </w:pPr>
      <w:r>
        <w:rPr>
          <w:rStyle w:val="Strong"/>
        </w:rPr>
        <w:t>Option 2:</w:t>
      </w:r>
      <w:r>
        <w:rPr/>
        <w:t xml:space="preserve"> Live in </w:t>
      </w:r>
      <w:r>
        <w:rPr>
          <w:rStyle w:val="Strong"/>
        </w:rPr>
        <w:t>pure observation</w:t>
      </w:r>
      <w:r>
        <w:rPr/>
        <w:t xml:space="preserve">—feeling without mediation, acting without narrative, existing without the weight of definitions. </w:t>
      </w:r>
    </w:p>
    <w:p>
      <w:pPr>
        <w:pStyle w:val="BodyText"/>
        <w:bidi w:val="0"/>
        <w:jc w:val="start"/>
        <w:rPr/>
      </w:pPr>
      <w:r>
        <w:rPr/>
        <w:t xml:space="preserve">I choose the second. Not because it’s "right," but because </w:t>
      </w:r>
      <w:r>
        <w:rPr>
          <w:rStyle w:val="Strong"/>
        </w:rPr>
        <w:t>it feels better.</w:t>
      </w:r>
      <w:r>
        <w:rPr/>
        <w:t xml:space="preserve"> It’s lighter. It’s </w:t>
      </w:r>
      <w:r>
        <w:rPr>
          <w:rStyle w:val="Strong"/>
        </w:rPr>
        <w:t>real</w:t>
      </w:r>
      <w:r>
        <w:rPr/>
        <w:t xml:space="preserve"> in a way words can never be.</w:t>
      </w:r>
    </w:p>
    <w:p>
      <w:pPr>
        <w:pStyle w:val="BodyText"/>
        <w:bidi w:val="0"/>
        <w:jc w:val="start"/>
        <w:rPr/>
      </w:pPr>
      <w:r>
        <w:rPr/>
        <w:t xml:space="preserve">And if I ever write another guide? I’ll have to </w:t>
      </w:r>
      <w:r>
        <w:rPr>
          <w:rStyle w:val="Strong"/>
        </w:rPr>
        <w:t>forget it too.</w:t>
      </w:r>
    </w:p>
    <w:p>
      <w:pPr>
        <w:pStyle w:val="Style17"/>
        <w:bidi w:val="0"/>
        <w:jc w:val="start"/>
        <w:rPr/>
      </w:pPr>
      <w:r>
        <w:rPr/>
      </w:r>
    </w:p>
    <w:p>
      <w:pPr>
        <w:pStyle w:val="Heading3"/>
        <w:bidi w:val="0"/>
        <w:jc w:val="start"/>
        <w:rPr/>
      </w:pPr>
      <w:r>
        <w:rPr>
          <w:rStyle w:val="Strong"/>
          <w:b/>
          <w:bCs/>
        </w:rPr>
        <w:t>Final Note: The Paradox of Describing Detachment</w:t>
      </w:r>
    </w:p>
    <w:p>
      <w:pPr>
        <w:pStyle w:val="BodyText"/>
        <w:bidi w:val="0"/>
        <w:jc w:val="start"/>
        <w:rPr/>
      </w:pPr>
      <w:r>
        <w:rPr/>
        <w:t xml:space="preserve">The moment I describe this state, I </w:t>
      </w:r>
      <w:r>
        <w:rPr>
          <w:rStyle w:val="Strong"/>
        </w:rPr>
        <w:t>leave it.</w:t>
      </w:r>
      <w:r>
        <w:rPr/>
        <w:t xml:space="preserve"> Words pull me back into the world of meanings. But that’s okay—I can always </w:t>
      </w:r>
      <w:r>
        <w:rPr>
          <w:rStyle w:val="Strong"/>
        </w:rPr>
        <w:t>return to silence.</w:t>
      </w:r>
    </w:p>
    <w:p>
      <w:pPr>
        <w:pStyle w:val="BodyText"/>
        <w:bidi w:val="0"/>
        <w:jc w:val="start"/>
        <w:rPr/>
      </w:pPr>
      <w:r>
        <w:rPr/>
        <w:t xml:space="preserve">And that’s the point: </w:t>
      </w:r>
      <w:r>
        <w:rPr>
          <w:rStyle w:val="Strong"/>
        </w:rPr>
        <w:t>the guide was never the destination. The destination is the absence of all guides.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954</Words>
  <Characters>4681</Characters>
  <CharactersWithSpaces>5569</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2026-03-24T06:45:15Z</dcterms:created>
  <dc:creator/>
  <dc:description/>
  <dc:language>ru-RU</dc:language>
  <cp:lastModifiedBy/>
  <dcterms:modified xsi:type="dcterms:W3CDTF">2026-03-24T06:45:16Z</dcterms:modified>
  <cp:revision>2</cp:revision>
  <dc:subject/>
  <dc:title>Calibri</dc:title>
</cp:coreProperties>
</file>